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400" w:lineRule="exact"/>
        <w:ind w:firstLine="562" w:firstLineChars="200"/>
        <w:jc w:val="center"/>
        <w:textAlignment w:val="auto"/>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sz w:val="28"/>
          <w:szCs w:val="28"/>
          <w:highlight w:val="none"/>
          <w14:textFill>
            <w14:solidFill>
              <w14:schemeClr w14:val="tx1"/>
            </w14:solidFill>
          </w14:textFill>
        </w:rPr>
        <w:t>特变电工新疆新能源股份有限公司简介</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特变电工新疆新能源股份有限公司（香港联交所代码：HK1799）创立于2000年，长期专注于光伏、风电、电力电子、能源互联网等领域，在全球设有10余个常驻办事机构，业务遍及巴基斯坦、智利、土耳其、泰国等20余个国家和地区，为客户提供清洁能源项目开发、投（融）资、设计、建设、调试、运维整体解决方案。</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公司先后获得“国家新能源发电装备高新技术产业基地”、“国家新型工业化产业示范基地”、“国家专利及创新型试点企业”等称号和联合国技术创新特等奖、中国光伏行业突出贡献奖等多项殊荣。公司承担了我国新能源领域多项国家重大科技专项、国家863课题和科技支撑计划专项，实现了并网逆变器、静止无功发生器、柔性直流产品等关键设备和技术的重大突破，成功研制了世界首个±800kV特高压柔性直流换流阀。截至目前，累计申请专利492项，其中：发明160项，实用新型299项，外观设计33项，参与国家及行业标准编制近50项。光伏EPC装机总量曾连续三年荣获全球第一，2019年位居新能源企业500强第89位。</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近年来，公司围绕构建“能源物联网+风光储输一体化+多能互补+智慧能源平台”的新能源体系，推动“特变电工绿色能源全生态链应用解决方案”在多应用场景、多技术场景、多运行场景的“三多场景”下的全面应用，引领“光储+”业务模式下的光伏平价上网新时代。聚焦逆变器、SVG、电能路由器等智能产品，同时提供TB-eCloud智慧能源管理平台、智能微电网解决方案等服务，努力打造“成为全球卓越的绿色智慧能源服务商”。</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2"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b/>
          <w:bCs/>
          <w:color w:val="000000" w:themeColor="text1"/>
          <w:szCs w:val="21"/>
          <w:highlight w:val="none"/>
          <w:lang w:val="en-US" w:eastAsia="zh-CN"/>
          <w14:textFill>
            <w14:solidFill>
              <w14:schemeClr w14:val="tx1"/>
            </w14:solidFill>
          </w14:textFill>
        </w:rPr>
        <w:t>智能制造，驱动清洁能源技术革新</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在光伏发电领域，研制的3kW-5000kW全系列并网逆变器，产品具有高容配比、高效率、高可靠性的特点，服务于集中式、分布式等各类光伏电站1000多座，业务遍及全球4大洲20多个国家。产品均通过了CQC新能标、TUV、VDE、CE、G59、BDEW、SAA、UL、国网零电压穿越等多项国内外权威认证及测试，获得了中国光伏领跑者首批认证及中国效率A+认证。全球稳定运行业绩已突破30GW。</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在电能质量领域，3kV-35kV/1-120Mvar全系列高压TSVG产品，凭借“可靠”品质，提高SVG在恶劣环境下并机系统在线运行率大于99%，目前TSVG产品累计全球应用业绩超过6Gvar。</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在智能微网领域，公司以电能路由器为高端技术引领，以能量管理系统、中央控制器、储能系统等关键产品为核心支撑，针对工商业园区、数据中心、海岛、无电地区等微网，打造定制化的“一核、两驱、X场景”的智能微网解决方案。其中自主研发的世界首台套电能路由器主要性能指标居于国际领先水平，可实现微电网一、二次设备的高度融合，以及“网-源-荷-储”的灵活接入与调度，可广泛推广应用于新能源并网发电、电动汽车充电站、储能电站、微电网领域。</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在智慧能源管理方面，基于大数据、云计算和人工智能等先进技术，构建了TB-eCloud智慧能源云平台</w:t>
      </w:r>
      <w:bookmarkStart w:id="0" w:name="OLE_LINK3"/>
      <w:bookmarkStart w:id="1" w:name="OLE_LINK4"/>
      <w:r>
        <w:rPr>
          <w:rFonts w:hint="eastAsia" w:ascii="Times New Roman" w:hAnsi="Times New Roman" w:cs="仿宋_GB2312"/>
          <w:color w:val="000000" w:themeColor="text1"/>
          <w:szCs w:val="21"/>
          <w:highlight w:val="none"/>
          <w:lang w:val="en-US" w:eastAsia="zh-CN"/>
          <w14:textFill>
            <w14:solidFill>
              <w14:schemeClr w14:val="tx1"/>
            </w14:solidFill>
          </w14:textFill>
        </w:rPr>
        <w:t>，高效、智能、便捷地实现光伏电站精准化、集团化、全生命周期的运维管理。</w:t>
      </w:r>
      <w:bookmarkEnd w:id="0"/>
      <w:bookmarkEnd w:id="1"/>
      <w:r>
        <w:rPr>
          <w:rFonts w:hint="eastAsia" w:ascii="Times New Roman" w:hAnsi="Times New Roman" w:cs="仿宋_GB2312"/>
          <w:color w:val="000000" w:themeColor="text1"/>
          <w:szCs w:val="21"/>
          <w:highlight w:val="none"/>
          <w:lang w:val="en-US" w:eastAsia="zh-CN"/>
          <w14:textFill>
            <w14:solidFill>
              <w14:schemeClr w14:val="tx1"/>
            </w14:solidFill>
          </w14:textFill>
        </w:rPr>
        <w:t>目前已接入各类电站30余个，容量突破5GW，提升发电量3%以上。</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ascii="Times New Roman" w:hAnsi="Times New Roman" w:cs="仿宋_GB2312"/>
          <w:color w:val="000000" w:themeColor="text1"/>
          <w:szCs w:val="21"/>
          <w:highlight w:val="none"/>
          <w:lang w:val="en-US" w:eastAsia="zh-CN"/>
          <w14:textFill>
            <w14:solidFill>
              <w14:schemeClr w14:val="tx1"/>
            </w14:solidFill>
          </w14:textFill>
        </w:rPr>
      </w:pPr>
      <w:r>
        <w:rPr>
          <w:rFonts w:hint="eastAsia" w:ascii="Times New Roman" w:hAnsi="Times New Roman" w:cs="仿宋_GB2312"/>
          <w:color w:val="000000" w:themeColor="text1"/>
          <w:szCs w:val="21"/>
          <w:highlight w:val="none"/>
          <w:lang w:val="en-US" w:eastAsia="zh-CN"/>
          <w14:textFill>
            <w14:solidFill>
              <w14:schemeClr w14:val="tx1"/>
            </w14:solidFill>
          </w14:textFill>
        </w:rPr>
        <w:t>在柔性直流输电领域，乌东德特高压多端直流工程特变电工柔性直流输电换流阀阀组件运行型式试验圆满完成。柔直输电系列产品在远距离高压输电、异步电网互联、配网直流输电、海上风电送出等系统成套解决方案，居于世界领先水平。</w:t>
      </w:r>
    </w:p>
    <w:p>
      <w:pPr>
        <w:keepNext w:val="0"/>
        <w:keepLines w:val="0"/>
        <w:pageBreakBefore w:val="0"/>
        <w:kinsoku/>
        <w:wordWrap/>
        <w:overflowPunct/>
        <w:topLinePunct w:val="0"/>
        <w:autoSpaceDE/>
        <w:autoSpaceDN/>
        <w:bidi w:val="0"/>
        <w:adjustRightInd/>
        <w:snapToGrid/>
        <w:spacing w:before="157" w:beforeLines="50" w:after="157" w:afterLines="50" w:line="240" w:lineRule="auto"/>
        <w:jc w:val="both"/>
        <w:textAlignment w:val="auto"/>
        <w:rPr>
          <w:rFonts w:hint="eastAsia" w:ascii="Times New Roman" w:hAnsi="Times New Roman" w:cs="仿宋_GB2312"/>
          <w:b/>
          <w:bCs/>
          <w:color w:val="000000" w:themeColor="text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2" w:firstLineChars="200"/>
        <w:jc w:val="both"/>
        <w:textAlignment w:val="auto"/>
        <w:rPr>
          <w:rFonts w:ascii="Times New Roman" w:hAnsi="Times New Roman" w:cs="仿宋_GB2312"/>
          <w:bCs/>
          <w:color w:val="000000" w:themeColor="text1"/>
          <w:szCs w:val="21"/>
          <w:highlight w:val="none"/>
          <w14:textFill>
            <w14:solidFill>
              <w14:schemeClr w14:val="tx1"/>
            </w14:solidFill>
          </w14:textFill>
        </w:rPr>
      </w:pPr>
      <w:r>
        <w:rPr>
          <w:rFonts w:hint="eastAsia" w:ascii="Times New Roman" w:hAnsi="Times New Roman" w:cs="仿宋_GB2312"/>
          <w:b/>
          <w:bCs/>
          <w:color w:val="000000" w:themeColor="text1"/>
          <w:szCs w:val="21"/>
          <w:highlight w:val="none"/>
          <w:lang w:val="en-US" w:eastAsia="zh-CN"/>
          <w14:textFill>
            <w14:solidFill>
              <w14:schemeClr w14:val="tx1"/>
            </w14:solidFill>
          </w14:textFill>
        </w:rPr>
        <w:t>更高收益，创新电站系统解决方案</w:t>
      </w:r>
    </w:p>
    <w:p>
      <w:pPr>
        <w:pStyle w:val="4"/>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ascii="Times New Roman" w:hAnsi="Times New Roman" w:cs="仿宋_GB2312"/>
          <w:color w:val="000000" w:themeColor="text1"/>
          <w:szCs w:val="21"/>
          <w:highlight w:val="none"/>
          <w14:textFill>
            <w14:solidFill>
              <w14:schemeClr w14:val="tx1"/>
            </w14:solidFill>
          </w14:textFill>
        </w:rPr>
      </w:pPr>
      <w:r>
        <w:rPr>
          <w:rFonts w:hint="eastAsia" w:ascii="Times New Roman" w:hAnsi="Times New Roman" w:cs="仿宋_GB2312"/>
          <w:bCs/>
          <w:color w:val="000000" w:themeColor="text1"/>
          <w:szCs w:val="21"/>
          <w:highlight w:val="none"/>
          <w14:textFill>
            <w14:solidFill>
              <w14:schemeClr w14:val="tx1"/>
            </w14:solidFill>
          </w14:textFill>
        </w:rPr>
        <w:t>公司拥有电源工程类调试甲级资质、承（装、修）二级电力设施许可证、工程设计和工程勘察乙级资质，</w:t>
      </w:r>
      <w:r>
        <w:rPr>
          <w:rFonts w:hint="eastAsia"/>
          <w:color w:val="000000" w:themeColor="text1"/>
          <w:highlight w:val="none"/>
          <w14:textFill>
            <w14:solidFill>
              <w14:schemeClr w14:val="tx1"/>
            </w14:solidFill>
          </w14:textFill>
        </w:rPr>
        <w:t>风力发电专业甲级、电力行业（新能源发电、风力发电、变电工程、送电工程）专业乙级、建筑行业（建筑工程）丙级、工程测量乙级、岩土工程（岩土工程勘察、岩土工程设计）乙级、工程咨询单位资信甲级资质证书</w:t>
      </w:r>
      <w:r>
        <w:rPr>
          <w:rFonts w:hint="eastAsia"/>
          <w:color w:val="000000" w:themeColor="text1"/>
          <w:highlight w:val="none"/>
          <w:lang w:eastAsia="zh-CN"/>
          <w14:textFill>
            <w14:solidFill>
              <w14:schemeClr w14:val="tx1"/>
            </w14:solidFill>
          </w14:textFill>
        </w:rPr>
        <w:t>。</w:t>
      </w:r>
      <w:r>
        <w:rPr>
          <w:rFonts w:hint="eastAsia" w:ascii="Times New Roman" w:hAnsi="Times New Roman" w:cs="仿宋_GB2312"/>
          <w:bCs/>
          <w:color w:val="000000" w:themeColor="text1"/>
          <w:szCs w:val="21"/>
          <w:highlight w:val="none"/>
          <w14:textFill>
            <w14:solidFill>
              <w14:schemeClr w14:val="tx1"/>
            </w14:solidFill>
          </w14:textFill>
        </w:rPr>
        <w:t>累计实现新能源行业项目设计容量</w:t>
      </w:r>
      <w:r>
        <w:rPr>
          <w:rFonts w:hint="eastAsia" w:ascii="Times New Roman" w:hAnsi="Times New Roman" w:cs="仿宋_GB2312"/>
          <w:bCs/>
          <w:color w:val="000000" w:themeColor="text1"/>
          <w:szCs w:val="21"/>
          <w:highlight w:val="none"/>
          <w:lang w:val="en-US" w:eastAsia="zh-CN"/>
          <w14:textFill>
            <w14:solidFill>
              <w14:schemeClr w14:val="tx1"/>
            </w14:solidFill>
          </w14:textFill>
        </w:rPr>
        <w:t>近13</w:t>
      </w:r>
      <w:r>
        <w:rPr>
          <w:rFonts w:hint="eastAsia" w:ascii="Times New Roman" w:hAnsi="Times New Roman" w:cs="仿宋_GB2312"/>
          <w:bCs/>
          <w:color w:val="000000" w:themeColor="text1"/>
          <w:szCs w:val="21"/>
          <w:highlight w:val="none"/>
          <w14:textFill>
            <w14:solidFill>
              <w14:schemeClr w14:val="tx1"/>
            </w14:solidFill>
          </w14:textFill>
        </w:rPr>
        <w:t>GW</w:t>
      </w:r>
      <w:r>
        <w:rPr>
          <w:rFonts w:hint="eastAsia" w:ascii="Times New Roman" w:hAnsi="Times New Roman" w:cs="仿宋_GB2312"/>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ascii="Times New Roman" w:hAnsi="Times New Roman" w:cs="仿宋_GB2312"/>
          <w:bCs/>
          <w:color w:val="000000" w:themeColor="text1"/>
          <w:szCs w:val="21"/>
          <w:highlight w:val="none"/>
          <w14:textFill>
            <w14:solidFill>
              <w14:schemeClr w14:val="tx1"/>
            </w14:solidFill>
          </w14:textFill>
        </w:rPr>
      </w:pPr>
      <w:r>
        <w:rPr>
          <w:rFonts w:hint="eastAsia" w:ascii="Times New Roman" w:hAnsi="Times New Roman" w:cs="仿宋_GB2312"/>
          <w:color w:val="000000" w:themeColor="text1"/>
          <w:szCs w:val="21"/>
          <w:highlight w:val="none"/>
          <w14:textFill>
            <w14:solidFill>
              <w14:schemeClr w14:val="tx1"/>
            </w14:solidFill>
          </w14:textFill>
        </w:rPr>
        <w:t>公司拥有建设大型荒漠、山地、渔光、农光、低风速、商业屋顶、住户屋顶等各类风、光电站的丰富经验。</w:t>
      </w:r>
      <w:r>
        <w:rPr>
          <w:rFonts w:hint="eastAsia" w:ascii="Calibri" w:hAnsi="Calibri" w:eastAsia="宋体" w:cs="宋体"/>
          <w:color w:val="000000" w:themeColor="text1"/>
          <w:kern w:val="2"/>
          <w:sz w:val="21"/>
          <w:szCs w:val="22"/>
          <w:highlight w:val="none"/>
          <w:lang w:val="en-US" w:eastAsia="zh-CN" w:bidi="ar-SA"/>
          <w14:textFill>
            <w14:solidFill>
              <w14:schemeClr w14:val="tx1"/>
            </w14:solidFill>
          </w14:textFill>
        </w:rPr>
        <w:t>拥有电力施工总承包一级资质，先后</w:t>
      </w:r>
      <w:r>
        <w:rPr>
          <w:rFonts w:hint="eastAsia" w:ascii="Times New Roman" w:hAnsi="Times New Roman" w:cs="仿宋_GB2312"/>
          <w:color w:val="000000" w:themeColor="text1"/>
          <w:szCs w:val="21"/>
          <w:highlight w:val="none"/>
          <w14:textFill>
            <w14:solidFill>
              <w14:schemeClr w14:val="tx1"/>
            </w14:solidFill>
          </w14:textFill>
        </w:rPr>
        <w:t>承建了亚洲最大单体山地光伏电站、亚洲最大单体渔光互补光伏电站、中国首个最大的风光互补荒漠并网示范电站项目、国内单体最大的光伏并网项目、国内首座最大的商业化光伏储能电</w:t>
      </w:r>
      <w:bookmarkStart w:id="2" w:name="_GoBack"/>
      <w:bookmarkEnd w:id="2"/>
      <w:r>
        <w:rPr>
          <w:rFonts w:hint="eastAsia" w:ascii="Times New Roman" w:hAnsi="Times New Roman" w:cs="仿宋_GB2312"/>
          <w:color w:val="000000" w:themeColor="text1"/>
          <w:szCs w:val="21"/>
          <w:highlight w:val="none"/>
          <w14:textFill>
            <w14:solidFill>
              <w14:schemeClr w14:val="tx1"/>
            </w14:solidFill>
          </w14:textFill>
        </w:rPr>
        <w:t>站项目等多个刷新行业新高度的新能源项目</w:t>
      </w:r>
      <w:r>
        <w:rPr>
          <w:rFonts w:hint="eastAsia" w:ascii="Times New Roman" w:hAnsi="Times New Roman" w:cs="仿宋_GB2312"/>
          <w:color w:val="000000" w:themeColor="text1"/>
          <w:szCs w:val="21"/>
          <w:highlight w:val="none"/>
          <w:lang w:eastAsia="zh-CN"/>
          <w14:textFill>
            <w14:solidFill>
              <w14:schemeClr w14:val="tx1"/>
            </w14:solidFill>
          </w14:textFill>
        </w:rPr>
        <w:t>。</w:t>
      </w:r>
      <w:r>
        <w:rPr>
          <w:rFonts w:hint="eastAsia" w:ascii="Times New Roman" w:hAnsi="Times New Roman" w:cs="仿宋_GB2312"/>
          <w:bCs/>
          <w:color w:val="000000" w:themeColor="text1"/>
          <w:szCs w:val="21"/>
          <w:highlight w:val="none"/>
          <w14:textFill>
            <w14:solidFill>
              <w14:schemeClr w14:val="tx1"/>
            </w14:solidFill>
          </w14:textFill>
        </w:rPr>
        <w:t>截止目前，公司累计承建各类风电、光伏离并网电站5000余座，建设容量</w:t>
      </w:r>
      <w:r>
        <w:rPr>
          <w:rFonts w:hint="eastAsia" w:ascii="Times New Roman" w:hAnsi="Times New Roman" w:cs="仿宋_GB2312"/>
          <w:bCs/>
          <w:color w:val="000000" w:themeColor="text1"/>
          <w:szCs w:val="21"/>
          <w:highlight w:val="none"/>
          <w:lang w:val="en-US" w:eastAsia="zh-CN"/>
          <w14:textFill>
            <w14:solidFill>
              <w14:schemeClr w14:val="tx1"/>
            </w14:solidFill>
          </w14:textFill>
        </w:rPr>
        <w:t>近16</w:t>
      </w:r>
      <w:r>
        <w:rPr>
          <w:rFonts w:hint="eastAsia" w:ascii="Times New Roman" w:hAnsi="Times New Roman" w:cs="仿宋_GB2312"/>
          <w:bCs/>
          <w:color w:val="000000" w:themeColor="text1"/>
          <w:szCs w:val="21"/>
          <w:highlight w:val="none"/>
          <w14:textFill>
            <w14:solidFill>
              <w14:schemeClr w14:val="tx1"/>
            </w14:solidFill>
          </w14:textFill>
        </w:rPr>
        <w:t>GW，其中风电</w:t>
      </w:r>
      <w:r>
        <w:rPr>
          <w:rFonts w:hint="eastAsia" w:ascii="Times New Roman" w:hAnsi="Times New Roman" w:cs="仿宋_GB2312"/>
          <w:bCs/>
          <w:color w:val="000000" w:themeColor="text1"/>
          <w:szCs w:val="21"/>
          <w:highlight w:val="none"/>
          <w:lang w:val="en-US" w:eastAsia="zh-CN"/>
          <w14:textFill>
            <w14:solidFill>
              <w14:schemeClr w14:val="tx1"/>
            </w14:solidFill>
          </w14:textFill>
        </w:rPr>
        <w:t>5</w:t>
      </w:r>
      <w:r>
        <w:rPr>
          <w:rFonts w:hint="eastAsia" w:ascii="Times New Roman" w:hAnsi="Times New Roman" w:cs="仿宋_GB2312"/>
          <w:bCs/>
          <w:color w:val="000000" w:themeColor="text1"/>
          <w:szCs w:val="21"/>
          <w:highlight w:val="none"/>
          <w14:textFill>
            <w14:solidFill>
              <w14:schemeClr w14:val="tx1"/>
            </w14:solidFill>
          </w14:textFill>
        </w:rPr>
        <w:t>GW、光伏（含离网）</w:t>
      </w:r>
      <w:r>
        <w:rPr>
          <w:rFonts w:hint="eastAsia" w:ascii="Times New Roman" w:hAnsi="Times New Roman" w:cs="仿宋_GB2312"/>
          <w:bCs/>
          <w:color w:val="000000" w:themeColor="text1"/>
          <w:szCs w:val="21"/>
          <w:highlight w:val="none"/>
          <w:lang w:val="en-US" w:eastAsia="zh-CN"/>
          <w14:textFill>
            <w14:solidFill>
              <w14:schemeClr w14:val="tx1"/>
            </w14:solidFill>
          </w14:textFill>
        </w:rPr>
        <w:t>11</w:t>
      </w:r>
      <w:r>
        <w:rPr>
          <w:rFonts w:hint="eastAsia" w:ascii="Times New Roman" w:hAnsi="Times New Roman" w:cs="仿宋_GB2312"/>
          <w:bCs/>
          <w:color w:val="000000" w:themeColor="text1"/>
          <w:szCs w:val="21"/>
          <w:highlight w:val="none"/>
          <w14:textFill>
            <w14:solidFill>
              <w14:schemeClr w14:val="tx1"/>
            </w14:solidFill>
          </w14:textFill>
        </w:rPr>
        <w:t>GW。</w:t>
      </w:r>
    </w:p>
    <w:p>
      <w:pPr>
        <w:pStyle w:val="8"/>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s="仿宋_GB2312"/>
          <w:color w:val="000000" w:themeColor="text1"/>
          <w:kern w:val="2"/>
          <w:sz w:val="21"/>
          <w:szCs w:val="21"/>
          <w:highlight w:val="none"/>
          <w14:textFill>
            <w14:solidFill>
              <w14:schemeClr w14:val="tx1"/>
            </w14:solidFill>
          </w14:textFill>
        </w:rPr>
        <w:t>“十</w:t>
      </w:r>
      <w:r>
        <w:rPr>
          <w:rFonts w:hint="eastAsia" w:ascii="Times New Roman" w:hAnsi="Times New Roman" w:cs="仿宋_GB2312"/>
          <w:color w:val="000000" w:themeColor="text1"/>
          <w:kern w:val="2"/>
          <w:sz w:val="21"/>
          <w:szCs w:val="21"/>
          <w:highlight w:val="none"/>
          <w:lang w:val="en-US" w:eastAsia="zh-CN"/>
          <w14:textFill>
            <w14:solidFill>
              <w14:schemeClr w14:val="tx1"/>
            </w14:solidFill>
          </w14:textFill>
        </w:rPr>
        <w:t>四</w:t>
      </w:r>
      <w:r>
        <w:rPr>
          <w:rFonts w:hint="eastAsia" w:ascii="Times New Roman" w:hAnsi="Times New Roman" w:cs="仿宋_GB2312"/>
          <w:color w:val="000000" w:themeColor="text1"/>
          <w:kern w:val="2"/>
          <w:sz w:val="21"/>
          <w:szCs w:val="21"/>
          <w:highlight w:val="none"/>
          <w14:textFill>
            <w14:solidFill>
              <w14:schemeClr w14:val="tx1"/>
            </w14:solidFill>
          </w14:textFill>
        </w:rPr>
        <w:t>五”</w:t>
      </w:r>
      <w:r>
        <w:rPr>
          <w:rFonts w:hint="eastAsia" w:ascii="Times New Roman" w:hAnsi="Times New Roman" w:cs="仿宋_GB2312"/>
          <w:color w:val="000000" w:themeColor="text1"/>
          <w:kern w:val="2"/>
          <w:sz w:val="21"/>
          <w:szCs w:val="21"/>
          <w:highlight w:val="none"/>
          <w:lang w:val="en-US" w:eastAsia="zh-CN"/>
          <w14:textFill>
            <w14:solidFill>
              <w14:schemeClr w14:val="tx1"/>
            </w14:solidFill>
          </w14:textFill>
        </w:rPr>
        <w:t>期间</w:t>
      </w:r>
      <w:r>
        <w:rPr>
          <w:rFonts w:hint="eastAsia" w:ascii="Times New Roman" w:hAnsi="Times New Roman" w:cs="仿宋_GB2312"/>
          <w:color w:val="000000" w:themeColor="text1"/>
          <w:kern w:val="2"/>
          <w:sz w:val="21"/>
          <w:szCs w:val="21"/>
          <w:highlight w:val="none"/>
          <w14:textFill>
            <w14:solidFill>
              <w14:schemeClr w14:val="tx1"/>
            </w14:solidFill>
          </w14:textFill>
        </w:rPr>
        <w:t>，公司</w:t>
      </w:r>
      <w:r>
        <w:rPr>
          <w:rFonts w:hint="eastAsia" w:ascii="Times New Roman" w:hAnsi="Times New Roman" w:cs="仿宋_GB2312"/>
          <w:color w:val="000000" w:themeColor="text1"/>
          <w:sz w:val="21"/>
          <w:szCs w:val="21"/>
          <w:highlight w:val="none"/>
          <w14:textFill>
            <w14:solidFill>
              <w14:schemeClr w14:val="tx1"/>
            </w14:solidFill>
          </w14:textFill>
        </w:rPr>
        <w:t>将立足国家能源战略，</w:t>
      </w:r>
      <w:r>
        <w:rPr>
          <w:rFonts w:hint="eastAsia" w:ascii="Times New Roman" w:hAnsi="Times New Roman" w:cs="仿宋_GB2312"/>
          <w:color w:val="000000" w:themeColor="text1"/>
          <w:kern w:val="2"/>
          <w:sz w:val="21"/>
          <w:szCs w:val="21"/>
          <w:highlight w:val="none"/>
          <w14:textFill>
            <w14:solidFill>
              <w14:schemeClr w14:val="tx1"/>
            </w14:solidFill>
          </w14:textFill>
        </w:rPr>
        <w:t>秉承“持续打造度电成本最</w:t>
      </w:r>
      <w:r>
        <w:rPr>
          <w:rFonts w:hint="eastAsia" w:ascii="Times New Roman" w:hAnsi="Times New Roman" w:cs="仿宋_GB2312"/>
          <w:color w:val="000000" w:themeColor="text1"/>
          <w:kern w:val="2"/>
          <w:sz w:val="21"/>
          <w:szCs w:val="21"/>
          <w:highlight w:val="none"/>
          <w:lang w:val="en-US" w:eastAsia="zh-CN"/>
          <w14:textFill>
            <w14:solidFill>
              <w14:schemeClr w14:val="tx1"/>
            </w14:solidFill>
          </w14:textFill>
        </w:rPr>
        <w:t>优</w:t>
      </w:r>
      <w:r>
        <w:rPr>
          <w:rFonts w:hint="eastAsia" w:ascii="Times New Roman" w:hAnsi="Times New Roman" w:cs="仿宋_GB2312"/>
          <w:color w:val="000000" w:themeColor="text1"/>
          <w:kern w:val="2"/>
          <w:sz w:val="21"/>
          <w:szCs w:val="21"/>
          <w:highlight w:val="none"/>
          <w14:textFill>
            <w14:solidFill>
              <w14:schemeClr w14:val="tx1"/>
            </w14:solidFill>
          </w14:textFill>
        </w:rPr>
        <w:t>”的核心发展理念</w:t>
      </w:r>
      <w:r>
        <w:rPr>
          <w:rFonts w:hint="eastAsia" w:ascii="Times New Roman" w:hAnsi="Times New Roman" w:cs="仿宋_GB2312"/>
          <w:color w:val="000000" w:themeColor="text1"/>
          <w:kern w:val="2"/>
          <w:sz w:val="21"/>
          <w:szCs w:val="21"/>
          <w:highlight w:val="none"/>
          <w:lang w:val="en-US" w:eastAsia="zh-CN"/>
          <w14:textFill>
            <w14:solidFill>
              <w14:schemeClr w14:val="tx1"/>
            </w14:solidFill>
          </w14:textFill>
        </w:rPr>
        <w:t>和“一主两翼”战略规划布局</w:t>
      </w:r>
      <w:r>
        <w:rPr>
          <w:rFonts w:hint="eastAsia" w:ascii="Times New Roman" w:hAnsi="Times New Roman" w:cs="仿宋_GB2312"/>
          <w:color w:val="000000" w:themeColor="text1"/>
          <w:kern w:val="2"/>
          <w:sz w:val="21"/>
          <w:szCs w:val="21"/>
          <w:highlight w:val="none"/>
          <w14:textFill>
            <w14:solidFill>
              <w14:schemeClr w14:val="tx1"/>
            </w14:solidFill>
          </w14:textFill>
        </w:rPr>
        <w:t>，围绕光伏、风电、微网、储能、多能互补等清洁能源领域，通过人工智能、能源互联网、大数据、云计算、物联网等先进技术的深度应用，不断深化与全产业链的交流合作，以先进的技术、优质的产品和可靠的服务，为客户提供从开发、投融资、设计、咨询、工程服务、运营、售电及绿色智能产品等全生命周期的绿色智慧系统综合解决方案</w:t>
      </w:r>
      <w:r>
        <w:rPr>
          <w:rFonts w:hint="eastAsia" w:ascii="Times New Roman" w:hAnsi="Times New Roman" w:cs="仿宋_GB2312"/>
          <w:color w:val="000000" w:themeColor="text1"/>
          <w:kern w:val="2"/>
          <w:sz w:val="21"/>
          <w:szCs w:val="21"/>
          <w:highlight w:val="none"/>
          <w:lang w:eastAsia="zh-CN"/>
          <w14:textFill>
            <w14:solidFill>
              <w14:schemeClr w14:val="tx1"/>
            </w14:solidFill>
          </w14:textFill>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99"/>
    <w:rsid w:val="0003499C"/>
    <w:rsid w:val="000A4D6D"/>
    <w:rsid w:val="000C568E"/>
    <w:rsid w:val="000E4D08"/>
    <w:rsid w:val="000F4973"/>
    <w:rsid w:val="00105A14"/>
    <w:rsid w:val="0014023A"/>
    <w:rsid w:val="001647EB"/>
    <w:rsid w:val="001B782E"/>
    <w:rsid w:val="0022492A"/>
    <w:rsid w:val="00246D29"/>
    <w:rsid w:val="002E189A"/>
    <w:rsid w:val="00306721"/>
    <w:rsid w:val="003C443F"/>
    <w:rsid w:val="00415B7C"/>
    <w:rsid w:val="0046711B"/>
    <w:rsid w:val="00472CC2"/>
    <w:rsid w:val="00480E9F"/>
    <w:rsid w:val="004A5098"/>
    <w:rsid w:val="004B5BEB"/>
    <w:rsid w:val="004B7560"/>
    <w:rsid w:val="004D488A"/>
    <w:rsid w:val="00566D63"/>
    <w:rsid w:val="005A4053"/>
    <w:rsid w:val="005D5B5D"/>
    <w:rsid w:val="00605FC6"/>
    <w:rsid w:val="006C5FED"/>
    <w:rsid w:val="007351A8"/>
    <w:rsid w:val="00737CAC"/>
    <w:rsid w:val="007424DE"/>
    <w:rsid w:val="0076698C"/>
    <w:rsid w:val="00766ABE"/>
    <w:rsid w:val="00790732"/>
    <w:rsid w:val="007A293B"/>
    <w:rsid w:val="007F5C49"/>
    <w:rsid w:val="00807455"/>
    <w:rsid w:val="00874112"/>
    <w:rsid w:val="00891499"/>
    <w:rsid w:val="008D5992"/>
    <w:rsid w:val="0090458D"/>
    <w:rsid w:val="00906A19"/>
    <w:rsid w:val="00922BFC"/>
    <w:rsid w:val="009321F3"/>
    <w:rsid w:val="0097629B"/>
    <w:rsid w:val="009D3CFA"/>
    <w:rsid w:val="009F10A5"/>
    <w:rsid w:val="00A27547"/>
    <w:rsid w:val="00A93D63"/>
    <w:rsid w:val="00B56F10"/>
    <w:rsid w:val="00B60791"/>
    <w:rsid w:val="00BA6FB4"/>
    <w:rsid w:val="00C1215A"/>
    <w:rsid w:val="00C51DD8"/>
    <w:rsid w:val="00CC53A6"/>
    <w:rsid w:val="00DA7575"/>
    <w:rsid w:val="00E1772C"/>
    <w:rsid w:val="00E626E9"/>
    <w:rsid w:val="00EA6007"/>
    <w:rsid w:val="00EC33ED"/>
    <w:rsid w:val="00F23843"/>
    <w:rsid w:val="00FA1B7C"/>
    <w:rsid w:val="00FA6FA0"/>
    <w:rsid w:val="00FD2B59"/>
    <w:rsid w:val="01F243E3"/>
    <w:rsid w:val="04B77E86"/>
    <w:rsid w:val="065B1964"/>
    <w:rsid w:val="0A904E6D"/>
    <w:rsid w:val="0CF24C31"/>
    <w:rsid w:val="14186824"/>
    <w:rsid w:val="194E255E"/>
    <w:rsid w:val="223D1407"/>
    <w:rsid w:val="25A02541"/>
    <w:rsid w:val="26284809"/>
    <w:rsid w:val="2C601AD4"/>
    <w:rsid w:val="2DE23CD7"/>
    <w:rsid w:val="41CD13C6"/>
    <w:rsid w:val="43FA456C"/>
    <w:rsid w:val="50062F9B"/>
    <w:rsid w:val="545C5426"/>
    <w:rsid w:val="57124F10"/>
    <w:rsid w:val="5C1C1F8C"/>
    <w:rsid w:val="675D5736"/>
    <w:rsid w:val="6C0A1328"/>
    <w:rsid w:val="72222BDB"/>
    <w:rsid w:val="74DF1A94"/>
    <w:rsid w:val="77292578"/>
    <w:rsid w:val="77A40588"/>
    <w:rsid w:val="797523C9"/>
    <w:rsid w:val="7B9E093E"/>
    <w:rsid w:val="7C251DB6"/>
    <w:rsid w:val="7F2D2ABC"/>
    <w:rsid w:val="7FB94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23"/>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99"/>
    <w:pPr>
      <w:jc w:val="left"/>
    </w:pPr>
  </w:style>
  <w:style w:type="paragraph" w:styleId="5">
    <w:name w:val="Balloon Text"/>
    <w:basedOn w:val="1"/>
    <w:link w:val="22"/>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9">
    <w:name w:val="annotation subject"/>
    <w:basedOn w:val="4"/>
    <w:next w:val="4"/>
    <w:link w:val="21"/>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qFormat/>
    <w:uiPriority w:val="99"/>
    <w:rPr>
      <w:color w:val="0268CD"/>
      <w:u w:val="none"/>
    </w:rPr>
  </w:style>
  <w:style w:type="character" w:styleId="16">
    <w:name w:val="annotation reference"/>
    <w:basedOn w:val="12"/>
    <w:qFormat/>
    <w:uiPriority w:val="99"/>
    <w:rPr>
      <w:sz w:val="21"/>
      <w:szCs w:val="21"/>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标题 2 Char"/>
    <w:basedOn w:val="12"/>
    <w:link w:val="2"/>
    <w:qFormat/>
    <w:uiPriority w:val="9"/>
    <w:rPr>
      <w:rFonts w:ascii="Cambria" w:hAnsi="Cambria" w:eastAsia="宋体" w:cs="宋体"/>
      <w:b/>
      <w:bCs/>
      <w:sz w:val="32"/>
      <w:szCs w:val="32"/>
    </w:rPr>
  </w:style>
  <w:style w:type="character" w:customStyle="1" w:styleId="20">
    <w:name w:val="批注文字 Char"/>
    <w:basedOn w:val="12"/>
    <w:link w:val="4"/>
    <w:qFormat/>
    <w:uiPriority w:val="99"/>
    <w:rPr>
      <w:rFonts w:ascii="Calibri" w:hAnsi="Calibri" w:eastAsia="宋体" w:cs="宋体"/>
      <w:kern w:val="2"/>
      <w:sz w:val="21"/>
      <w:szCs w:val="22"/>
    </w:rPr>
  </w:style>
  <w:style w:type="character" w:customStyle="1" w:styleId="21">
    <w:name w:val="批注主题 Char"/>
    <w:basedOn w:val="20"/>
    <w:link w:val="9"/>
    <w:qFormat/>
    <w:uiPriority w:val="99"/>
    <w:rPr>
      <w:rFonts w:ascii="Calibri" w:hAnsi="Calibri" w:eastAsia="宋体" w:cs="宋体"/>
      <w:b/>
      <w:bCs/>
      <w:kern w:val="2"/>
      <w:sz w:val="21"/>
      <w:szCs w:val="22"/>
    </w:rPr>
  </w:style>
  <w:style w:type="character" w:customStyle="1" w:styleId="22">
    <w:name w:val="批注框文本 Char"/>
    <w:basedOn w:val="12"/>
    <w:link w:val="5"/>
    <w:qFormat/>
    <w:uiPriority w:val="99"/>
    <w:rPr>
      <w:rFonts w:ascii="Calibri" w:hAnsi="Calibri" w:eastAsia="宋体" w:cs="宋体"/>
      <w:kern w:val="2"/>
      <w:sz w:val="18"/>
      <w:szCs w:val="18"/>
    </w:rPr>
  </w:style>
  <w:style w:type="character" w:customStyle="1" w:styleId="23">
    <w:name w:val="标题 3 Char"/>
    <w:basedOn w:val="12"/>
    <w:link w:val="3"/>
    <w:qFormat/>
    <w:uiPriority w:val="9"/>
    <w:rPr>
      <w:rFonts w:ascii="Calibri" w:hAnsi="Calibri" w:eastAsia="宋体" w:cs="宋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48680-651D-4B90-96D9-FA4A674A8B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295</Words>
  <Characters>1683</Characters>
  <Lines>14</Lines>
  <Paragraphs>3</Paragraphs>
  <TotalTime>0</TotalTime>
  <ScaleCrop>false</ScaleCrop>
  <LinksUpToDate>false</LinksUpToDate>
  <CharactersWithSpaces>1975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2017-07-05T05:03:00Z</dcterms:created>
  <dc:creator>何原</dc:creator>
  <cp:lastModifiedBy>yangping2</cp:lastModifiedBy>
  <dcterms:modified xsi:type="dcterms:W3CDTF">2019-12-26T02:20:36Z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